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0F1" w:rsidRPr="00455515" w:rsidRDefault="00742B3F">
      <w:pPr>
        <w:spacing w:before="129"/>
        <w:ind w:right="262"/>
        <w:jc w:val="center"/>
        <w:rPr>
          <w:rFonts w:eastAsia="Calibri" w:cstheme="minorHAnsi"/>
          <w:color w:val="244061" w:themeColor="accent1" w:themeShade="80"/>
          <w:sz w:val="52"/>
          <w:szCs w:val="52"/>
        </w:rPr>
      </w:pPr>
      <w:bookmarkStart w:id="0" w:name="_GoBack"/>
      <w:bookmarkEnd w:id="0"/>
      <w:r w:rsidRPr="00455515">
        <w:rPr>
          <w:rFonts w:cstheme="minorHAnsi"/>
          <w:noProof/>
          <w:color w:val="244061" w:themeColor="accent1" w:themeShade="8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321945</wp:posOffset>
            </wp:positionH>
            <wp:positionV relativeFrom="paragraph">
              <wp:posOffset>327025</wp:posOffset>
            </wp:positionV>
            <wp:extent cx="1062355" cy="1062355"/>
            <wp:effectExtent l="0" t="0" r="4445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15C" w:rsidRPr="00455515">
        <w:rPr>
          <w:rFonts w:cstheme="minorHAnsi"/>
          <w:noProof/>
          <w:color w:val="244061" w:themeColor="accent1" w:themeShade="8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6311900</wp:posOffset>
            </wp:positionH>
            <wp:positionV relativeFrom="paragraph">
              <wp:posOffset>278130</wp:posOffset>
            </wp:positionV>
            <wp:extent cx="1072515" cy="10725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EE8" w:rsidRPr="00455515">
        <w:rPr>
          <w:rFonts w:cstheme="minorHAnsi"/>
          <w:b/>
          <w:color w:val="244061" w:themeColor="accent1" w:themeShade="80"/>
          <w:spacing w:val="-1"/>
          <w:sz w:val="56"/>
        </w:rPr>
        <w:t>U</w:t>
      </w:r>
      <w:r w:rsidR="00270EE8" w:rsidRPr="00455515">
        <w:rPr>
          <w:rFonts w:cstheme="minorHAnsi"/>
          <w:b/>
          <w:color w:val="244061" w:themeColor="accent1" w:themeShade="80"/>
          <w:spacing w:val="-1"/>
          <w:sz w:val="52"/>
        </w:rPr>
        <w:t>nited</w:t>
      </w:r>
      <w:r w:rsidR="00270EE8" w:rsidRPr="00455515">
        <w:rPr>
          <w:rFonts w:cstheme="minorHAnsi"/>
          <w:b/>
          <w:color w:val="244061" w:themeColor="accent1" w:themeShade="80"/>
          <w:spacing w:val="-5"/>
          <w:sz w:val="52"/>
        </w:rPr>
        <w:t xml:space="preserve"> </w:t>
      </w:r>
      <w:r w:rsidR="00270EE8" w:rsidRPr="00455515">
        <w:rPr>
          <w:rFonts w:cstheme="minorHAnsi"/>
          <w:b/>
          <w:color w:val="244061" w:themeColor="accent1" w:themeShade="80"/>
          <w:sz w:val="52"/>
        </w:rPr>
        <w:t>States</w:t>
      </w:r>
      <w:r w:rsidR="00270EE8" w:rsidRPr="00455515">
        <w:rPr>
          <w:rFonts w:cstheme="minorHAnsi"/>
          <w:b/>
          <w:color w:val="244061" w:themeColor="accent1" w:themeShade="80"/>
          <w:spacing w:val="-2"/>
          <w:sz w:val="52"/>
        </w:rPr>
        <w:t xml:space="preserve"> </w:t>
      </w:r>
      <w:r w:rsidR="00270EE8" w:rsidRPr="00455515">
        <w:rPr>
          <w:rFonts w:cstheme="minorHAnsi"/>
          <w:b/>
          <w:color w:val="244061" w:themeColor="accent1" w:themeShade="80"/>
          <w:spacing w:val="-1"/>
          <w:sz w:val="52"/>
        </w:rPr>
        <w:t>Public</w:t>
      </w:r>
      <w:r w:rsidR="00270EE8" w:rsidRPr="00455515">
        <w:rPr>
          <w:rFonts w:cstheme="minorHAnsi"/>
          <w:b/>
          <w:color w:val="244061" w:themeColor="accent1" w:themeShade="80"/>
          <w:spacing w:val="-2"/>
          <w:sz w:val="52"/>
        </w:rPr>
        <w:t xml:space="preserve"> </w:t>
      </w:r>
      <w:r w:rsidR="00270EE8" w:rsidRPr="00455515">
        <w:rPr>
          <w:rFonts w:cstheme="minorHAnsi"/>
          <w:b/>
          <w:color w:val="244061" w:themeColor="accent1" w:themeShade="80"/>
          <w:spacing w:val="-1"/>
          <w:sz w:val="52"/>
        </w:rPr>
        <w:t>Health</w:t>
      </w:r>
      <w:r w:rsidR="00270EE8" w:rsidRPr="00455515">
        <w:rPr>
          <w:rFonts w:cstheme="minorHAnsi"/>
          <w:b/>
          <w:color w:val="244061" w:themeColor="accent1" w:themeShade="80"/>
          <w:spacing w:val="-3"/>
          <w:sz w:val="52"/>
        </w:rPr>
        <w:t xml:space="preserve"> </w:t>
      </w:r>
      <w:r w:rsidR="00270EE8" w:rsidRPr="00455515">
        <w:rPr>
          <w:rFonts w:cstheme="minorHAnsi"/>
          <w:b/>
          <w:color w:val="244061" w:themeColor="accent1" w:themeShade="80"/>
          <w:spacing w:val="-1"/>
          <w:sz w:val="52"/>
        </w:rPr>
        <w:t>Service</w:t>
      </w:r>
    </w:p>
    <w:p w:rsidR="007940F1" w:rsidRPr="00455515" w:rsidRDefault="00270EE8" w:rsidP="008F5131">
      <w:pPr>
        <w:ind w:left="2049" w:right="2030" w:hanging="1"/>
        <w:jc w:val="center"/>
        <w:rPr>
          <w:rFonts w:eastAsia="Calibri" w:cstheme="minorHAnsi"/>
          <w:color w:val="244061" w:themeColor="accent1" w:themeShade="80"/>
          <w:sz w:val="48"/>
          <w:szCs w:val="48"/>
        </w:rPr>
      </w:pPr>
      <w:r w:rsidRPr="00455515">
        <w:rPr>
          <w:rFonts w:cstheme="minorHAnsi"/>
          <w:b/>
          <w:color w:val="244061" w:themeColor="accent1" w:themeShade="80"/>
          <w:spacing w:val="-1"/>
          <w:sz w:val="48"/>
        </w:rPr>
        <w:t>Environmental</w:t>
      </w:r>
      <w:r w:rsidRPr="00455515">
        <w:rPr>
          <w:rFonts w:cstheme="minorHAnsi"/>
          <w:b/>
          <w:color w:val="244061" w:themeColor="accent1" w:themeShade="80"/>
          <w:spacing w:val="-16"/>
          <w:sz w:val="48"/>
        </w:rPr>
        <w:t xml:space="preserve"> </w:t>
      </w:r>
      <w:r w:rsidRPr="00455515">
        <w:rPr>
          <w:rFonts w:cstheme="minorHAnsi"/>
          <w:b/>
          <w:color w:val="244061" w:themeColor="accent1" w:themeShade="80"/>
          <w:spacing w:val="-1"/>
          <w:sz w:val="48"/>
        </w:rPr>
        <w:t>Health</w:t>
      </w:r>
      <w:r w:rsidRPr="00455515">
        <w:rPr>
          <w:rFonts w:cstheme="minorHAnsi"/>
          <w:b/>
          <w:color w:val="244061" w:themeColor="accent1" w:themeShade="80"/>
          <w:spacing w:val="-16"/>
          <w:sz w:val="48"/>
        </w:rPr>
        <w:t xml:space="preserve"> </w:t>
      </w:r>
      <w:r w:rsidRPr="00455515">
        <w:rPr>
          <w:rFonts w:cstheme="minorHAnsi"/>
          <w:b/>
          <w:color w:val="244061" w:themeColor="accent1" w:themeShade="80"/>
          <w:spacing w:val="-1"/>
          <w:sz w:val="48"/>
        </w:rPr>
        <w:t>Officer</w:t>
      </w:r>
      <w:r w:rsidRPr="00455515">
        <w:rPr>
          <w:rFonts w:cstheme="minorHAnsi"/>
          <w:b/>
          <w:color w:val="244061" w:themeColor="accent1" w:themeShade="80"/>
          <w:spacing w:val="29"/>
          <w:sz w:val="48"/>
        </w:rPr>
        <w:t xml:space="preserve"> </w:t>
      </w:r>
      <w:r w:rsidRPr="00455515">
        <w:rPr>
          <w:rFonts w:cstheme="minorHAnsi"/>
          <w:b/>
          <w:color w:val="244061" w:themeColor="accent1" w:themeShade="80"/>
          <w:spacing w:val="-1"/>
          <w:sz w:val="48"/>
        </w:rPr>
        <w:t>Professional</w:t>
      </w:r>
      <w:r w:rsidRPr="00455515">
        <w:rPr>
          <w:rFonts w:cstheme="minorHAnsi"/>
          <w:b/>
          <w:color w:val="244061" w:themeColor="accent1" w:themeShade="80"/>
          <w:spacing w:val="-18"/>
          <w:sz w:val="48"/>
        </w:rPr>
        <w:t xml:space="preserve"> </w:t>
      </w:r>
      <w:r w:rsidRPr="00455515">
        <w:rPr>
          <w:rFonts w:cstheme="minorHAnsi"/>
          <w:b/>
          <w:color w:val="244061" w:themeColor="accent1" w:themeShade="80"/>
          <w:spacing w:val="-1"/>
          <w:sz w:val="48"/>
        </w:rPr>
        <w:t>Advisory</w:t>
      </w:r>
      <w:r w:rsidRPr="00455515">
        <w:rPr>
          <w:rFonts w:cstheme="minorHAnsi"/>
          <w:b/>
          <w:color w:val="244061" w:themeColor="accent1" w:themeShade="80"/>
          <w:spacing w:val="-15"/>
          <w:sz w:val="48"/>
        </w:rPr>
        <w:t xml:space="preserve"> </w:t>
      </w:r>
      <w:r w:rsidRPr="00455515">
        <w:rPr>
          <w:rFonts w:cstheme="minorHAnsi"/>
          <w:b/>
          <w:color w:val="244061" w:themeColor="accent1" w:themeShade="80"/>
          <w:spacing w:val="-1"/>
          <w:sz w:val="48"/>
        </w:rPr>
        <w:t>Committee</w:t>
      </w:r>
    </w:p>
    <w:p w:rsidR="008F5131" w:rsidRDefault="008F5131" w:rsidP="00455515">
      <w:pPr>
        <w:jc w:val="center"/>
        <w:rPr>
          <w:rFonts w:cstheme="minorHAnsi"/>
          <w:color w:val="244061" w:themeColor="accent1" w:themeShade="80"/>
          <w:sz w:val="48"/>
          <w:szCs w:val="48"/>
        </w:rPr>
      </w:pPr>
    </w:p>
    <w:p w:rsidR="008F5131" w:rsidRPr="00455515" w:rsidRDefault="008F5131" w:rsidP="008F5131">
      <w:pPr>
        <w:jc w:val="center"/>
        <w:rPr>
          <w:rFonts w:cstheme="minorHAnsi"/>
          <w:color w:val="244061" w:themeColor="accent1" w:themeShade="80"/>
          <w:sz w:val="48"/>
          <w:szCs w:val="48"/>
        </w:rPr>
      </w:pPr>
      <w:r w:rsidRPr="00455515">
        <w:rPr>
          <w:rFonts w:cstheme="minorHAnsi"/>
          <w:i/>
          <w:color w:val="244061" w:themeColor="accent1" w:themeShade="80"/>
          <w:sz w:val="48"/>
          <w:szCs w:val="48"/>
        </w:rPr>
        <w:t>Training Event</w:t>
      </w:r>
    </w:p>
    <w:p w:rsidR="00084546" w:rsidRPr="00B22369" w:rsidRDefault="00084546" w:rsidP="00455515">
      <w:pPr>
        <w:spacing w:after="240" w:line="276" w:lineRule="auto"/>
        <w:ind w:left="-90"/>
        <w:jc w:val="center"/>
        <w:rPr>
          <w:rFonts w:cstheme="minorHAnsi"/>
          <w:b/>
          <w:i/>
          <w:color w:val="244061" w:themeColor="accent1" w:themeShade="80"/>
          <w:sz w:val="40"/>
          <w:szCs w:val="40"/>
        </w:rPr>
      </w:pPr>
      <w:r w:rsidRPr="00B22369">
        <w:rPr>
          <w:rFonts w:cstheme="minorHAnsi"/>
          <w:noProof/>
          <w:color w:val="244061" w:themeColor="accent1" w:themeShade="8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69293</wp:posOffset>
                </wp:positionV>
                <wp:extent cx="6178550" cy="0"/>
                <wp:effectExtent l="0" t="0" r="317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85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29BCF08" id="Straight Connector 2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45pt" to="486.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" strokecolor="#002060">
                <w10:wrap anchorx="margin"/>
              </v:line>
            </w:pict>
          </mc:Fallback>
        </mc:AlternateContent>
      </w:r>
    </w:p>
    <w:p w:rsidR="00742B3F" w:rsidRPr="008F27DE" w:rsidRDefault="008F5131" w:rsidP="00455515">
      <w:pPr>
        <w:spacing w:after="240" w:line="276" w:lineRule="auto"/>
        <w:ind w:left="-90"/>
        <w:jc w:val="center"/>
        <w:rPr>
          <w:rFonts w:eastAsia="Calibri" w:cstheme="minorHAnsi"/>
          <w:color w:val="244061" w:themeColor="accent1" w:themeShade="80"/>
          <w:spacing w:val="-2"/>
          <w:sz w:val="36"/>
          <w:szCs w:val="32"/>
        </w:rPr>
      </w:pPr>
      <w:r w:rsidRPr="008F27DE">
        <w:rPr>
          <w:rFonts w:cstheme="minorHAnsi"/>
          <w:b/>
          <w:i/>
          <w:color w:val="244061" w:themeColor="accent1" w:themeShade="80"/>
          <w:sz w:val="40"/>
          <w:szCs w:val="40"/>
        </w:rPr>
        <w:t>What:</w:t>
      </w:r>
      <w:r w:rsidRPr="008F27DE">
        <w:rPr>
          <w:rFonts w:cstheme="minorHAnsi"/>
          <w:color w:val="244061" w:themeColor="accent1" w:themeShade="80"/>
          <w:sz w:val="48"/>
          <w:szCs w:val="48"/>
        </w:rPr>
        <w:t xml:space="preserve"> </w:t>
      </w:r>
      <w:r w:rsidR="00742B3F" w:rsidRPr="008F27DE">
        <w:rPr>
          <w:rFonts w:cstheme="minorHAnsi"/>
          <w:color w:val="244061" w:themeColor="accent1" w:themeShade="80"/>
          <w:sz w:val="36"/>
          <w:szCs w:val="32"/>
        </w:rPr>
        <w:t xml:space="preserve">ER310: Food Safety Issues </w:t>
      </w:r>
      <w:r w:rsidR="00E579ED">
        <w:rPr>
          <w:rFonts w:cstheme="minorHAnsi"/>
          <w:color w:val="244061" w:themeColor="accent1" w:themeShade="80"/>
          <w:sz w:val="36"/>
          <w:szCs w:val="32"/>
        </w:rPr>
        <w:t xml:space="preserve">in the event of </w:t>
      </w:r>
      <w:r w:rsidR="00742B3F" w:rsidRPr="008F27DE">
        <w:rPr>
          <w:rFonts w:cstheme="minorHAnsi"/>
          <w:color w:val="244061" w:themeColor="accent1" w:themeShade="80"/>
          <w:sz w:val="36"/>
          <w:szCs w:val="32"/>
        </w:rPr>
        <w:t>Disasters</w:t>
      </w:r>
    </w:p>
    <w:p w:rsidR="007940F1" w:rsidRPr="00B22369" w:rsidRDefault="008F5131" w:rsidP="00B22369">
      <w:pPr>
        <w:tabs>
          <w:tab w:val="left" w:pos="10800"/>
        </w:tabs>
        <w:spacing w:after="240" w:line="276" w:lineRule="auto"/>
        <w:ind w:left="-90" w:right="940" w:firstLine="810"/>
        <w:jc w:val="center"/>
        <w:rPr>
          <w:rFonts w:cstheme="minorHAnsi"/>
          <w:color w:val="244061" w:themeColor="accent1" w:themeShade="80"/>
          <w:spacing w:val="-1"/>
          <w:sz w:val="36"/>
          <w:szCs w:val="36"/>
        </w:rPr>
      </w:pPr>
      <w:r w:rsidRPr="008F27DE">
        <w:rPr>
          <w:rFonts w:cstheme="minorHAnsi"/>
          <w:b/>
          <w:i/>
          <w:color w:val="244061" w:themeColor="accent1" w:themeShade="80"/>
          <w:spacing w:val="-1"/>
          <w:sz w:val="40"/>
          <w:szCs w:val="40"/>
        </w:rPr>
        <w:t>When:</w:t>
      </w:r>
      <w:r w:rsidRPr="008F27DE">
        <w:rPr>
          <w:rFonts w:cstheme="minorHAnsi"/>
          <w:color w:val="244061" w:themeColor="accent1" w:themeShade="80"/>
          <w:spacing w:val="-1"/>
          <w:sz w:val="44"/>
        </w:rPr>
        <w:t xml:space="preserve"> </w:t>
      </w:r>
      <w:r w:rsidR="00742B3F" w:rsidRPr="00B22369">
        <w:rPr>
          <w:rFonts w:cstheme="minorHAnsi"/>
          <w:color w:val="244061" w:themeColor="accent1" w:themeShade="80"/>
          <w:spacing w:val="-1"/>
          <w:sz w:val="34"/>
          <w:szCs w:val="34"/>
        </w:rPr>
        <w:t>Sunday, July 12</w:t>
      </w:r>
      <w:r w:rsidR="00742B3F" w:rsidRPr="00B22369">
        <w:rPr>
          <w:rFonts w:cstheme="minorHAnsi"/>
          <w:color w:val="244061" w:themeColor="accent1" w:themeShade="80"/>
          <w:spacing w:val="-1"/>
          <w:sz w:val="34"/>
          <w:szCs w:val="34"/>
          <w:vertAlign w:val="superscript"/>
        </w:rPr>
        <w:t>th</w:t>
      </w:r>
      <w:r w:rsidR="008A015C" w:rsidRPr="00B22369">
        <w:rPr>
          <w:rFonts w:cstheme="minorHAnsi"/>
          <w:color w:val="244061" w:themeColor="accent1" w:themeShade="80"/>
          <w:spacing w:val="-1"/>
          <w:sz w:val="34"/>
          <w:szCs w:val="34"/>
        </w:rPr>
        <w:t xml:space="preserve"> </w:t>
      </w:r>
      <w:r w:rsidR="00B22369" w:rsidRPr="00B22369">
        <w:rPr>
          <w:rFonts w:ascii="Calibri"/>
          <w:color w:val="244061" w:themeColor="accent1" w:themeShade="80"/>
          <w:spacing w:val="-1"/>
          <w:sz w:val="34"/>
          <w:szCs w:val="34"/>
        </w:rPr>
        <w:t xml:space="preserve">(0800– 1700) </w:t>
      </w:r>
      <w:r w:rsidRPr="00B22369">
        <w:rPr>
          <w:rFonts w:cstheme="minorHAnsi"/>
          <w:color w:val="244061" w:themeColor="accent1" w:themeShade="80"/>
          <w:spacing w:val="-1"/>
          <w:sz w:val="34"/>
          <w:szCs w:val="34"/>
        </w:rPr>
        <w:t>&amp; Monday, July 13</w:t>
      </w:r>
      <w:r w:rsidRPr="00B22369">
        <w:rPr>
          <w:rFonts w:cstheme="minorHAnsi"/>
          <w:color w:val="244061" w:themeColor="accent1" w:themeShade="80"/>
          <w:spacing w:val="-1"/>
          <w:sz w:val="34"/>
          <w:szCs w:val="34"/>
          <w:vertAlign w:val="superscript"/>
        </w:rPr>
        <w:t>th</w:t>
      </w:r>
      <w:r w:rsidRPr="00B22369">
        <w:rPr>
          <w:rFonts w:cstheme="minorHAnsi"/>
          <w:color w:val="244061" w:themeColor="accent1" w:themeShade="80"/>
          <w:spacing w:val="-1"/>
          <w:sz w:val="34"/>
          <w:szCs w:val="34"/>
        </w:rPr>
        <w:t xml:space="preserve"> </w:t>
      </w:r>
      <w:r w:rsidR="00B22369" w:rsidRPr="00B22369">
        <w:rPr>
          <w:rFonts w:cstheme="minorHAnsi"/>
          <w:color w:val="244061" w:themeColor="accent1" w:themeShade="80"/>
          <w:spacing w:val="-1"/>
          <w:sz w:val="34"/>
          <w:szCs w:val="34"/>
        </w:rPr>
        <w:t>(0800– 1200</w:t>
      </w:r>
      <w:r w:rsidR="008A015C" w:rsidRPr="00B22369">
        <w:rPr>
          <w:rFonts w:cstheme="minorHAnsi"/>
          <w:color w:val="244061" w:themeColor="accent1" w:themeShade="80"/>
          <w:spacing w:val="-1"/>
          <w:sz w:val="34"/>
          <w:szCs w:val="34"/>
        </w:rPr>
        <w:t>)</w:t>
      </w:r>
    </w:p>
    <w:p w:rsidR="008A015C" w:rsidRPr="008F27DE" w:rsidRDefault="008A015C" w:rsidP="00B22369">
      <w:pPr>
        <w:spacing w:after="240" w:line="276" w:lineRule="auto"/>
        <w:ind w:left="-90" w:right="940" w:firstLine="720"/>
        <w:jc w:val="center"/>
        <w:rPr>
          <w:rFonts w:cstheme="minorHAnsi"/>
          <w:color w:val="244061" w:themeColor="accent1" w:themeShade="80"/>
          <w:sz w:val="18"/>
          <w:szCs w:val="20"/>
        </w:rPr>
      </w:pPr>
      <w:r w:rsidRPr="008F27DE">
        <w:rPr>
          <w:rFonts w:cstheme="minorHAnsi"/>
          <w:b/>
          <w:i/>
          <w:color w:val="244061" w:themeColor="accent1" w:themeShade="80"/>
          <w:sz w:val="40"/>
          <w:szCs w:val="20"/>
        </w:rPr>
        <w:t>Target Audience:</w:t>
      </w:r>
      <w:r w:rsidRPr="008F27DE">
        <w:rPr>
          <w:rFonts w:cstheme="minorHAnsi"/>
          <w:color w:val="244061" w:themeColor="accent1" w:themeShade="80"/>
          <w:sz w:val="40"/>
          <w:szCs w:val="20"/>
        </w:rPr>
        <w:t xml:space="preserve"> </w:t>
      </w:r>
      <w:r w:rsidR="008F27DE" w:rsidRPr="00455515">
        <w:rPr>
          <w:rFonts w:cstheme="minorHAnsi"/>
          <w:color w:val="244061" w:themeColor="accent1" w:themeShade="80"/>
          <w:sz w:val="36"/>
          <w:szCs w:val="26"/>
        </w:rPr>
        <w:t>EHO</w:t>
      </w:r>
      <w:r w:rsidR="005F619B">
        <w:rPr>
          <w:rFonts w:cstheme="minorHAnsi"/>
          <w:color w:val="244061" w:themeColor="accent1" w:themeShade="80"/>
          <w:sz w:val="36"/>
          <w:szCs w:val="26"/>
        </w:rPr>
        <w:t>s</w:t>
      </w:r>
      <w:r w:rsidR="008F27DE" w:rsidRPr="00455515">
        <w:rPr>
          <w:rFonts w:cstheme="minorHAnsi"/>
          <w:color w:val="244061" w:themeColor="accent1" w:themeShade="80"/>
          <w:sz w:val="36"/>
          <w:szCs w:val="26"/>
        </w:rPr>
        <w:t xml:space="preserve"> </w:t>
      </w:r>
      <w:r w:rsidRPr="00455515">
        <w:rPr>
          <w:rFonts w:cstheme="minorHAnsi"/>
          <w:color w:val="244061" w:themeColor="accent1" w:themeShade="80"/>
          <w:sz w:val="36"/>
          <w:szCs w:val="26"/>
        </w:rPr>
        <w:t xml:space="preserve">with </w:t>
      </w:r>
      <w:r w:rsidR="005F619B">
        <w:rPr>
          <w:rFonts w:cstheme="minorHAnsi"/>
          <w:color w:val="244061" w:themeColor="accent1" w:themeShade="80"/>
          <w:sz w:val="36"/>
          <w:szCs w:val="26"/>
        </w:rPr>
        <w:t>minimal</w:t>
      </w:r>
      <w:r w:rsidRPr="00455515">
        <w:rPr>
          <w:rFonts w:cstheme="minorHAnsi"/>
          <w:color w:val="244061" w:themeColor="accent1" w:themeShade="80"/>
          <w:sz w:val="36"/>
          <w:szCs w:val="26"/>
        </w:rPr>
        <w:t xml:space="preserve"> experience responding</w:t>
      </w:r>
      <w:r w:rsidR="008F27DE" w:rsidRPr="00455515">
        <w:rPr>
          <w:rFonts w:cstheme="minorHAnsi"/>
          <w:color w:val="244061" w:themeColor="accent1" w:themeShade="80"/>
          <w:sz w:val="36"/>
          <w:szCs w:val="26"/>
        </w:rPr>
        <w:t xml:space="preserve"> to food safety disaster events</w:t>
      </w:r>
    </w:p>
    <w:p w:rsidR="00041B9D" w:rsidRPr="00152D2E" w:rsidRDefault="00455515" w:rsidP="00152D2E">
      <w:pPr>
        <w:pStyle w:val="NoSpacing"/>
        <w:jc w:val="center"/>
        <w:rPr>
          <w:color w:val="1F497D" w:themeColor="text2"/>
        </w:rPr>
      </w:pPr>
      <w:r w:rsidRPr="00152D2E">
        <w:rPr>
          <w:b/>
          <w:i/>
          <w:color w:val="1F497D" w:themeColor="text2"/>
          <w:sz w:val="40"/>
          <w:szCs w:val="40"/>
        </w:rPr>
        <w:t>Cost:</w:t>
      </w:r>
      <w:r w:rsidRPr="00152D2E">
        <w:rPr>
          <w:color w:val="1F497D" w:themeColor="text2"/>
          <w:szCs w:val="28"/>
        </w:rPr>
        <w:t xml:space="preserve"> </w:t>
      </w:r>
      <w:r w:rsidRPr="00152D2E">
        <w:rPr>
          <w:color w:val="1F497D" w:themeColor="text2"/>
          <w:sz w:val="36"/>
          <w:szCs w:val="36"/>
        </w:rPr>
        <w:t>Free, Pre-Registration Required</w:t>
      </w:r>
    </w:p>
    <w:p w:rsidR="00113B91" w:rsidRDefault="00096941" w:rsidP="00113B91">
      <w:pPr>
        <w:ind w:left="-90"/>
        <w:jc w:val="center"/>
        <w:rPr>
          <w:color w:val="1F497D"/>
        </w:rPr>
      </w:pPr>
      <w:r>
        <w:rPr>
          <w:color w:val="1F497D"/>
        </w:rPr>
        <w:t xml:space="preserve">Registration forms will be sent to the first 10 EHOs who </w:t>
      </w:r>
      <w:r w:rsidR="00113B91">
        <w:rPr>
          <w:color w:val="1F497D"/>
        </w:rPr>
        <w:t>confirm their</w:t>
      </w:r>
      <w:r>
        <w:rPr>
          <w:color w:val="1F497D"/>
        </w:rPr>
        <w:t xml:space="preserve"> attend</w:t>
      </w:r>
      <w:r w:rsidR="00113B91">
        <w:rPr>
          <w:color w:val="1F497D"/>
        </w:rPr>
        <w:t>ance</w:t>
      </w:r>
      <w:r>
        <w:rPr>
          <w:color w:val="1F497D"/>
        </w:rPr>
        <w:t xml:space="preserve"> </w:t>
      </w:r>
      <w:r w:rsidR="00391556">
        <w:rPr>
          <w:color w:val="1F497D"/>
        </w:rPr>
        <w:t xml:space="preserve">for </w:t>
      </w:r>
      <w:r>
        <w:rPr>
          <w:color w:val="1F497D"/>
        </w:rPr>
        <w:t>the course.</w:t>
      </w:r>
    </w:p>
    <w:p w:rsidR="008A015C" w:rsidRPr="008F27DE" w:rsidRDefault="00096941" w:rsidP="00113B91">
      <w:pPr>
        <w:ind w:left="-90"/>
        <w:jc w:val="center"/>
        <w:rPr>
          <w:rFonts w:cstheme="minorHAnsi"/>
          <w:color w:val="244061" w:themeColor="accent1" w:themeShade="80"/>
          <w:sz w:val="20"/>
          <w:szCs w:val="20"/>
        </w:rPr>
      </w:pPr>
      <w:r>
        <w:rPr>
          <w:color w:val="1F497D"/>
        </w:rPr>
        <w:t>Please contact CDR Robert Gibbs (</w:t>
      </w:r>
      <w:hyperlink r:id="rId8" w:history="1">
        <w:r>
          <w:rPr>
            <w:rStyle w:val="Hyperlink"/>
          </w:rPr>
          <w:t>Robert.Gibbs@foh.hhs.gov</w:t>
        </w:r>
      </w:hyperlink>
      <w:r>
        <w:rPr>
          <w:color w:val="1F497D"/>
        </w:rPr>
        <w:t>) to confirm</w:t>
      </w:r>
    </w:p>
    <w:p w:rsidR="008F27DE" w:rsidRDefault="008F27DE" w:rsidP="008F27DE">
      <w:pPr>
        <w:ind w:left="720"/>
        <w:rPr>
          <w:rFonts w:cstheme="minorHAnsi"/>
          <w:color w:val="244061" w:themeColor="accent1" w:themeShade="80"/>
          <w:sz w:val="20"/>
          <w:szCs w:val="20"/>
        </w:rPr>
      </w:pPr>
      <w:r w:rsidRPr="008F27DE">
        <w:rPr>
          <w:rFonts w:cstheme="minorHAnsi"/>
          <w:noProof/>
          <w:color w:val="244061" w:themeColor="accent1" w:themeShade="8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438B91" wp14:editId="4A4E0906">
                <wp:simplePos x="0" y="0"/>
                <wp:positionH relativeFrom="margin">
                  <wp:align>center</wp:align>
                </wp:positionH>
                <wp:positionV relativeFrom="paragraph">
                  <wp:posOffset>120650</wp:posOffset>
                </wp:positionV>
                <wp:extent cx="6178550" cy="0"/>
                <wp:effectExtent l="0" t="0" r="317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8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4123713" id="Straight Connector 5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9.5pt" to="486.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" strokecolor="#002060">
                <w10:wrap anchorx="margin"/>
              </v:line>
            </w:pict>
          </mc:Fallback>
        </mc:AlternateContent>
      </w:r>
    </w:p>
    <w:p w:rsidR="008F27DE" w:rsidRDefault="008F27DE" w:rsidP="008F27DE">
      <w:pPr>
        <w:ind w:left="720"/>
        <w:rPr>
          <w:rFonts w:cstheme="minorHAnsi"/>
          <w:color w:val="244061" w:themeColor="accent1" w:themeShade="80"/>
          <w:sz w:val="20"/>
          <w:szCs w:val="20"/>
        </w:rPr>
      </w:pPr>
    </w:p>
    <w:p w:rsidR="008F27DE" w:rsidRDefault="008F27DE" w:rsidP="008F27DE">
      <w:pPr>
        <w:ind w:left="720"/>
        <w:rPr>
          <w:rFonts w:cstheme="minorHAnsi"/>
          <w:color w:val="244061" w:themeColor="accent1" w:themeShade="80"/>
          <w:sz w:val="20"/>
          <w:szCs w:val="20"/>
        </w:rPr>
      </w:pPr>
    </w:p>
    <w:p w:rsidR="008F27DE" w:rsidRPr="00037364" w:rsidRDefault="00041B9D" w:rsidP="00084546">
      <w:pPr>
        <w:ind w:left="720" w:right="310"/>
        <w:rPr>
          <w:rFonts w:cstheme="minorHAnsi"/>
          <w:color w:val="244061" w:themeColor="accent1" w:themeShade="80"/>
          <w:sz w:val="24"/>
          <w:szCs w:val="20"/>
        </w:rPr>
      </w:pPr>
      <w:r>
        <w:rPr>
          <w:rFonts w:cstheme="minorHAnsi"/>
          <w:color w:val="244061" w:themeColor="accent1" w:themeShade="80"/>
          <w:sz w:val="24"/>
          <w:szCs w:val="20"/>
        </w:rPr>
        <w:t xml:space="preserve">FDA and NEHA will be offering ER310 at NEHA’s AEC pre-conference in NYC.  </w:t>
      </w:r>
      <w:r w:rsidR="008A015C" w:rsidRPr="00037364">
        <w:rPr>
          <w:rFonts w:cstheme="minorHAnsi"/>
          <w:color w:val="244061" w:themeColor="accent1" w:themeShade="80"/>
          <w:sz w:val="24"/>
          <w:szCs w:val="20"/>
        </w:rPr>
        <w:t>This course incorporates interactive and performance based activities to address food safety issues in the event of a disaster. </w:t>
      </w:r>
      <w:r w:rsidR="008A015C" w:rsidRPr="00037364">
        <w:rPr>
          <w:rFonts w:cstheme="minorHAnsi"/>
          <w:color w:val="244061" w:themeColor="accent1" w:themeShade="80"/>
          <w:szCs w:val="20"/>
        </w:rPr>
        <w:t xml:space="preserve"> Food </w:t>
      </w:r>
      <w:r w:rsidR="008A015C" w:rsidRPr="00037364">
        <w:rPr>
          <w:rFonts w:cstheme="minorHAnsi"/>
          <w:color w:val="244061" w:themeColor="accent1" w:themeShade="80"/>
          <w:sz w:val="24"/>
          <w:szCs w:val="20"/>
        </w:rPr>
        <w:t xml:space="preserve">safety response and recovery </w:t>
      </w:r>
      <w:r w:rsidR="005F619B">
        <w:rPr>
          <w:rFonts w:cstheme="minorHAnsi"/>
          <w:color w:val="244061" w:themeColor="accent1" w:themeShade="80"/>
          <w:sz w:val="24"/>
          <w:szCs w:val="20"/>
        </w:rPr>
        <w:t>topics</w:t>
      </w:r>
      <w:r w:rsidR="008A015C" w:rsidRPr="00037364">
        <w:rPr>
          <w:rFonts w:cstheme="minorHAnsi"/>
          <w:color w:val="244061" w:themeColor="accent1" w:themeShade="80"/>
          <w:sz w:val="24"/>
          <w:szCs w:val="20"/>
        </w:rPr>
        <w:t xml:space="preserve"> that will be covered include situational assessments, inspectional concerns, salvage, and other mitigation strategies related to retail </w:t>
      </w:r>
      <w:r w:rsidR="005F619B">
        <w:rPr>
          <w:rFonts w:cstheme="minorHAnsi"/>
          <w:color w:val="244061" w:themeColor="accent1" w:themeShade="80"/>
          <w:sz w:val="24"/>
          <w:szCs w:val="20"/>
        </w:rPr>
        <w:t xml:space="preserve">food </w:t>
      </w:r>
      <w:r w:rsidR="008A015C" w:rsidRPr="00037364">
        <w:rPr>
          <w:rFonts w:cstheme="minorHAnsi"/>
          <w:color w:val="244061" w:themeColor="accent1" w:themeShade="80"/>
          <w:sz w:val="24"/>
          <w:szCs w:val="20"/>
        </w:rPr>
        <w:t>and processing facilities. The course is targeted towards state, local, tribal and territorial regulators, environmental health specialists</w:t>
      </w:r>
      <w:r w:rsidR="005F619B">
        <w:rPr>
          <w:rFonts w:cstheme="minorHAnsi"/>
          <w:color w:val="244061" w:themeColor="accent1" w:themeShade="80"/>
          <w:sz w:val="24"/>
          <w:szCs w:val="20"/>
        </w:rPr>
        <w:t xml:space="preserve"> as well as</w:t>
      </w:r>
      <w:r w:rsidR="008A015C" w:rsidRPr="00037364">
        <w:rPr>
          <w:rFonts w:cstheme="minorHAnsi"/>
          <w:color w:val="244061" w:themeColor="accent1" w:themeShade="80"/>
          <w:sz w:val="24"/>
          <w:szCs w:val="20"/>
        </w:rPr>
        <w:t xml:space="preserve"> food safety inspection officers who respond to local disasters.</w:t>
      </w:r>
    </w:p>
    <w:p w:rsidR="008F27DE" w:rsidRPr="00455515" w:rsidRDefault="008F27DE" w:rsidP="008F27DE">
      <w:pPr>
        <w:ind w:left="720"/>
        <w:rPr>
          <w:rFonts w:cstheme="minorHAnsi"/>
          <w:color w:val="244061" w:themeColor="accent1" w:themeShade="80"/>
          <w:szCs w:val="20"/>
        </w:rPr>
      </w:pPr>
    </w:p>
    <w:p w:rsidR="00455515" w:rsidRPr="00084546" w:rsidRDefault="00455515" w:rsidP="00084546">
      <w:pPr>
        <w:spacing w:line="360" w:lineRule="auto"/>
        <w:ind w:left="720" w:right="850"/>
        <w:jc w:val="center"/>
        <w:rPr>
          <w:rFonts w:cstheme="minorHAnsi"/>
          <w:b/>
          <w:color w:val="244061" w:themeColor="accent1" w:themeShade="80"/>
          <w:sz w:val="32"/>
          <w:szCs w:val="20"/>
        </w:rPr>
      </w:pPr>
      <w:r w:rsidRPr="00084546">
        <w:rPr>
          <w:rFonts w:cstheme="minorHAnsi"/>
          <w:b/>
          <w:color w:val="244061" w:themeColor="accent1" w:themeShade="80"/>
          <w:sz w:val="32"/>
          <w:szCs w:val="20"/>
        </w:rPr>
        <w:t>Course prerequisites:</w:t>
      </w:r>
    </w:p>
    <w:p w:rsidR="002C478D" w:rsidRDefault="00455515" w:rsidP="00455515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color w:val="244061" w:themeColor="accent1" w:themeShade="80"/>
          <w:szCs w:val="20"/>
        </w:rPr>
      </w:pPr>
      <w:r w:rsidRPr="00455515">
        <w:rPr>
          <w:rFonts w:cstheme="minorHAnsi"/>
          <w:color w:val="244061" w:themeColor="accent1" w:themeShade="80"/>
          <w:szCs w:val="20"/>
        </w:rPr>
        <w:t>ER310W100 Food Safety Issues in the Event of Disasters: An Introduction web course</w:t>
      </w:r>
      <w:r w:rsidR="002C478D">
        <w:rPr>
          <w:rFonts w:cstheme="minorHAnsi"/>
          <w:color w:val="244061" w:themeColor="accent1" w:themeShade="80"/>
          <w:szCs w:val="20"/>
        </w:rPr>
        <w:t xml:space="preserve">  </w:t>
      </w:r>
    </w:p>
    <w:p w:rsidR="00455515" w:rsidRDefault="00455515" w:rsidP="00455515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color w:val="244061" w:themeColor="accent1" w:themeShade="80"/>
          <w:szCs w:val="20"/>
        </w:rPr>
      </w:pPr>
      <w:r w:rsidRPr="00455515">
        <w:rPr>
          <w:rFonts w:cstheme="minorHAnsi"/>
          <w:color w:val="244061" w:themeColor="accent1" w:themeShade="80"/>
          <w:szCs w:val="20"/>
        </w:rPr>
        <w:t xml:space="preserve">Food Code (FD112 classroom or online (FDAFC01-FDAFC11) </w:t>
      </w:r>
      <w:r w:rsidR="002C478D">
        <w:rPr>
          <w:rFonts w:cstheme="minorHAnsi"/>
          <w:color w:val="244061" w:themeColor="accent1" w:themeShade="80"/>
          <w:szCs w:val="20"/>
        </w:rPr>
        <w:t>through</w:t>
      </w:r>
      <w:r w:rsidRPr="00455515">
        <w:rPr>
          <w:rFonts w:cstheme="minorHAnsi"/>
          <w:color w:val="244061" w:themeColor="accent1" w:themeShade="80"/>
          <w:szCs w:val="20"/>
        </w:rPr>
        <w:t xml:space="preserve"> ComplianceWire). </w:t>
      </w:r>
    </w:p>
    <w:p w:rsidR="008A015C" w:rsidRPr="00455515" w:rsidRDefault="00455515" w:rsidP="00084546">
      <w:pPr>
        <w:spacing w:line="276" w:lineRule="auto"/>
        <w:jc w:val="center"/>
        <w:rPr>
          <w:rFonts w:cstheme="minorHAnsi"/>
          <w:color w:val="244061" w:themeColor="accent1" w:themeShade="80"/>
          <w:szCs w:val="20"/>
        </w:rPr>
      </w:pPr>
      <w:r w:rsidRPr="00455515">
        <w:rPr>
          <w:rFonts w:cstheme="minorHAnsi"/>
          <w:b/>
          <w:color w:val="244061" w:themeColor="accent1" w:themeShade="80"/>
          <w:szCs w:val="20"/>
        </w:rPr>
        <w:t>Link to the prerequisites</w:t>
      </w:r>
      <w:r w:rsidRPr="00455515">
        <w:rPr>
          <w:rFonts w:cstheme="minorHAnsi"/>
          <w:color w:val="244061" w:themeColor="accent1" w:themeShade="80"/>
          <w:szCs w:val="20"/>
        </w:rPr>
        <w:t>: </w:t>
      </w:r>
      <w:hyperlink r:id="rId9" w:history="1">
        <w:r w:rsidRPr="00455515">
          <w:rPr>
            <w:rStyle w:val="Hyperlink"/>
            <w:rFonts w:cstheme="minorHAnsi"/>
            <w:color w:val="244061" w:themeColor="accent1" w:themeShade="80"/>
            <w:szCs w:val="20"/>
            <w:bdr w:val="none" w:sz="0" w:space="0" w:color="auto" w:frame="1"/>
          </w:rPr>
          <w:t>https://orauportal.fda.gov/stc/ORA/psciis.dll?linkid=720650&amp;mainmenu=ORA&amp;top_frame=1</w:t>
        </w:r>
      </w:hyperlink>
    </w:p>
    <w:p w:rsidR="00907841" w:rsidRDefault="00907841" w:rsidP="00084546">
      <w:pPr>
        <w:spacing w:before="51"/>
        <w:ind w:left="1170" w:right="1480"/>
        <w:jc w:val="center"/>
        <w:rPr>
          <w:rFonts w:cstheme="minorHAnsi"/>
          <w:color w:val="244061" w:themeColor="accent1" w:themeShade="80"/>
          <w:spacing w:val="-1"/>
          <w:sz w:val="28"/>
        </w:rPr>
      </w:pPr>
    </w:p>
    <w:p w:rsidR="007940F1" w:rsidRPr="00084546" w:rsidRDefault="00270EE8" w:rsidP="00084546">
      <w:pPr>
        <w:spacing w:before="51"/>
        <w:ind w:left="1170" w:right="1480"/>
        <w:jc w:val="center"/>
        <w:rPr>
          <w:rFonts w:eastAsia="Calibri" w:cstheme="minorHAnsi"/>
          <w:color w:val="244061" w:themeColor="accent1" w:themeShade="80"/>
          <w:sz w:val="28"/>
          <w:szCs w:val="24"/>
        </w:rPr>
      </w:pPr>
      <w:r w:rsidRPr="00084546">
        <w:rPr>
          <w:rFonts w:cstheme="minorHAnsi"/>
          <w:color w:val="244061" w:themeColor="accent1" w:themeShade="80"/>
          <w:spacing w:val="-1"/>
          <w:sz w:val="28"/>
        </w:rPr>
        <w:t>Please</w:t>
      </w:r>
      <w:r w:rsidRPr="00084546">
        <w:rPr>
          <w:rFonts w:cstheme="minorHAnsi"/>
          <w:color w:val="244061" w:themeColor="accent1" w:themeShade="80"/>
          <w:spacing w:val="-2"/>
          <w:sz w:val="28"/>
        </w:rPr>
        <w:t xml:space="preserve"> </w:t>
      </w:r>
      <w:r w:rsidRPr="00084546">
        <w:rPr>
          <w:rFonts w:cstheme="minorHAnsi"/>
          <w:color w:val="244061" w:themeColor="accent1" w:themeShade="80"/>
          <w:spacing w:val="-1"/>
          <w:sz w:val="28"/>
        </w:rPr>
        <w:t>contact</w:t>
      </w:r>
      <w:r w:rsidRPr="00084546">
        <w:rPr>
          <w:rFonts w:cstheme="minorHAnsi"/>
          <w:color w:val="244061" w:themeColor="accent1" w:themeShade="80"/>
          <w:spacing w:val="-4"/>
          <w:sz w:val="28"/>
        </w:rPr>
        <w:t xml:space="preserve"> </w:t>
      </w:r>
      <w:r w:rsidRPr="00084546">
        <w:rPr>
          <w:rFonts w:cstheme="minorHAnsi"/>
          <w:color w:val="244061" w:themeColor="accent1" w:themeShade="80"/>
          <w:sz w:val="28"/>
        </w:rPr>
        <w:t>CDR</w:t>
      </w:r>
      <w:r w:rsidRPr="00084546">
        <w:rPr>
          <w:rFonts w:cstheme="minorHAnsi"/>
          <w:color w:val="244061" w:themeColor="accent1" w:themeShade="80"/>
          <w:spacing w:val="-3"/>
          <w:sz w:val="28"/>
        </w:rPr>
        <w:t xml:space="preserve"> </w:t>
      </w:r>
      <w:r w:rsidR="008A015C" w:rsidRPr="00084546">
        <w:rPr>
          <w:rFonts w:cstheme="minorHAnsi"/>
          <w:color w:val="244061" w:themeColor="accent1" w:themeShade="80"/>
          <w:spacing w:val="-1"/>
          <w:sz w:val="28"/>
        </w:rPr>
        <w:t>Robert Gibbs</w:t>
      </w:r>
      <w:r w:rsidRPr="00084546">
        <w:rPr>
          <w:rFonts w:cstheme="minorHAnsi"/>
          <w:color w:val="244061" w:themeColor="accent1" w:themeShade="80"/>
          <w:spacing w:val="-2"/>
          <w:sz w:val="28"/>
        </w:rPr>
        <w:t xml:space="preserve"> </w:t>
      </w:r>
      <w:r w:rsidRPr="00084546">
        <w:rPr>
          <w:rFonts w:cstheme="minorHAnsi"/>
          <w:color w:val="244061" w:themeColor="accent1" w:themeShade="80"/>
          <w:spacing w:val="-1"/>
          <w:sz w:val="28"/>
        </w:rPr>
        <w:t>(</w:t>
      </w:r>
      <w:hyperlink r:id="rId10" w:history="1">
        <w:r w:rsidR="008A015C" w:rsidRPr="00084546">
          <w:rPr>
            <w:rStyle w:val="Hyperlink"/>
            <w:rFonts w:cstheme="minorHAnsi"/>
            <w:color w:val="244061" w:themeColor="accent1" w:themeShade="80"/>
            <w:spacing w:val="-1"/>
            <w:sz w:val="28"/>
          </w:rPr>
          <w:t>Robert.Gibbs@foh.hhs.gov</w:t>
        </w:r>
      </w:hyperlink>
      <w:r w:rsidR="008A015C" w:rsidRPr="00084546">
        <w:rPr>
          <w:rFonts w:cstheme="minorHAnsi"/>
          <w:color w:val="244061" w:themeColor="accent1" w:themeShade="80"/>
          <w:spacing w:val="-1"/>
          <w:sz w:val="28"/>
        </w:rPr>
        <w:t>) with</w:t>
      </w:r>
      <w:r w:rsidRPr="00084546">
        <w:rPr>
          <w:rFonts w:cstheme="minorHAnsi"/>
          <w:color w:val="244061" w:themeColor="accent1" w:themeShade="80"/>
          <w:spacing w:val="-4"/>
          <w:sz w:val="28"/>
        </w:rPr>
        <w:t xml:space="preserve"> </w:t>
      </w:r>
      <w:r w:rsidR="00084546">
        <w:rPr>
          <w:rFonts w:cstheme="minorHAnsi"/>
          <w:color w:val="244061" w:themeColor="accent1" w:themeShade="80"/>
          <w:spacing w:val="-1"/>
          <w:sz w:val="28"/>
        </w:rPr>
        <w:t>questions</w:t>
      </w:r>
    </w:p>
    <w:sectPr w:rsidR="007940F1" w:rsidRPr="00084546">
      <w:type w:val="continuous"/>
      <w:pgSz w:w="12240" w:h="15840"/>
      <w:pgMar w:top="360" w:right="260" w:bottom="280" w:left="240" w:header="720" w:footer="720" w:gutter="0"/>
      <w:pgBorders w:offsetFrom="page">
        <w:top w:val="single" w:sz="12" w:space="19" w:color="948A54"/>
        <w:left w:val="single" w:sz="12" w:space="15" w:color="948A54"/>
        <w:bottom w:val="single" w:sz="12" w:space="21" w:color="948A54"/>
        <w:right w:val="single" w:sz="12" w:space="17" w:color="948A54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31B83"/>
    <w:multiLevelType w:val="hybridMultilevel"/>
    <w:tmpl w:val="51F6C2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0F1"/>
    <w:rsid w:val="00037364"/>
    <w:rsid w:val="00041B9D"/>
    <w:rsid w:val="00084546"/>
    <w:rsid w:val="00096941"/>
    <w:rsid w:val="00113B91"/>
    <w:rsid w:val="00152D2E"/>
    <w:rsid w:val="001E1E85"/>
    <w:rsid w:val="00250FA9"/>
    <w:rsid w:val="00270EE8"/>
    <w:rsid w:val="00295FBC"/>
    <w:rsid w:val="002C478D"/>
    <w:rsid w:val="00391556"/>
    <w:rsid w:val="00455515"/>
    <w:rsid w:val="004F0D53"/>
    <w:rsid w:val="005837F2"/>
    <w:rsid w:val="005F619B"/>
    <w:rsid w:val="00742B3F"/>
    <w:rsid w:val="007940F1"/>
    <w:rsid w:val="0082221C"/>
    <w:rsid w:val="008A015C"/>
    <w:rsid w:val="008F27DE"/>
    <w:rsid w:val="008F5131"/>
    <w:rsid w:val="00907841"/>
    <w:rsid w:val="00946A81"/>
    <w:rsid w:val="00A11E35"/>
    <w:rsid w:val="00A6720C"/>
    <w:rsid w:val="00B22369"/>
    <w:rsid w:val="00BA4255"/>
    <w:rsid w:val="00E579ED"/>
    <w:rsid w:val="00FD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5475F1-4B3B-435D-9E46-F40F19D7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40" w:hanging="1"/>
      <w:outlineLvl w:val="0"/>
    </w:pPr>
    <w:rPr>
      <w:rFonts w:ascii="Calibri" w:eastAsia="Calibri" w:hAnsi="Calibri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9"/>
    </w:pPr>
    <w:rPr>
      <w:rFonts w:ascii="Calibri" w:eastAsia="Calibri" w:hAnsi="Calibri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A015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513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B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9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52D2E"/>
  </w:style>
  <w:style w:type="character" w:customStyle="1" w:styleId="UnresolvedMention">
    <w:name w:val="Unresolved Mention"/>
    <w:basedOn w:val="DefaultParagraphFont"/>
    <w:uiPriority w:val="99"/>
    <w:semiHidden/>
    <w:unhideWhenUsed/>
    <w:rsid w:val="002C47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Gibbs@foh.hhs.gov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obert.Gibbs@foh.hhs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m11.safelinks.protection.outlook.com/?url=https%3A%2F%2Forauportal.fda.gov%2Fstc%2FORA%2Fpsciis.dll%3Flinkid%3D720650%26mainmenu%3DORA%26top_frame%3D1&amp;data=01%7C01%7CALedezma%40neha.org%7C030100e009c941741f9308d7a69c1d46%7C6f21da2fd84b418793001485f11536c5%7C0&amp;sdata=%2BwLGh37CQcQL8WTFCxX%2BZMfPzkzTw7RAFvZDDL8dAxw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57A32-A59E-4BA4-BF64-6DB16331D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YKHC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Leonard, Monica (CDC/OCOO/HRO)</dc:creator>
  <cp:lastModifiedBy>Frank, Samuel T (IHS/ALB/ASU)</cp:lastModifiedBy>
  <cp:revision>2</cp:revision>
  <dcterms:created xsi:type="dcterms:W3CDTF">2020-03-16T15:20:00Z</dcterms:created>
  <dcterms:modified xsi:type="dcterms:W3CDTF">2020-03-16T15:20:00Z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2018-12-06T00:00:00Z</vt:filetime>
  </property>
  <property fmtid="{D5CDD505-2E9C-101B-9397-08002B2CF9AE}" pid="3" name="LastSaved">
    <vt:filetime>2019-03-08T00:00:00Z</vt:filetime>
  </property>
</Properties>
</file>